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w:t>
      </w:r>
      <w:r w:rsidDel="00000000" w:rsidR="00000000" w:rsidRPr="00000000">
        <w:rPr>
          <w:rFonts w:ascii="Arial" w:cs="Arial" w:eastAsia="Arial" w:hAnsi="Arial"/>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vidence that the Supplier has attempted to mitigate against the increase in the relevant cost components;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sz w:val="24"/>
          <w:szCs w:val="24"/>
          <w:rtl w:val="0"/>
        </w:rPr>
        <w:t xml:space="preserve">Other Costs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Supporting Documentation.</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rPr>
          <w:rFonts w:ascii="Arial" w:cs="Arial" w:eastAsia="Arial" w:hAnsi="Arial"/>
          <w:b w:val="1"/>
          <w:sz w:val="36"/>
          <w:szCs w:val="36"/>
        </w:rPr>
      </w:pPr>
      <w:bookmarkStart w:colFirst="0" w:colLast="0" w:name="_heading=h.1t3h5sf"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shd w:fill="548dd4" w:val="clear"/>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rPr>
          <w:cantSplit w:val="0"/>
          <w:tblHeader w:val="0"/>
        </w:trPr>
        <w:tc>
          <w:tcPr/>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Fixed Prices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2"/>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rPr>
          <w:cantSplit w:val="0"/>
          <w:tblHeader w:val="0"/>
        </w:trPr>
        <w:tc>
          <w:tcPr/>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M3]</w:t>
            </w:r>
          </w:p>
        </w:tc>
        <w:tc>
          <w:tcPr>
            <w:shd w:fill="ffffff" w:val="clear"/>
          </w:tcPr>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SC3]</w:t>
            </w:r>
          </w:p>
        </w:tc>
        <w:tc>
          <w:tcPr>
            <w:shd w:fill="ffffff" w:val="clear"/>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D">
      <w:pPr>
        <w:rPr>
          <w:rFonts w:ascii="Arial" w:cs="Arial" w:eastAsia="Arial" w:hAnsi="Arial"/>
          <w:b w:val="1"/>
          <w:smallCaps w:val="1"/>
          <w:sz w:val="24"/>
          <w:szCs w:val="24"/>
        </w:rPr>
      </w:pPr>
      <w:bookmarkStart w:colFirst="0" w:colLast="0" w:name="_heading=h.4d34og8" w:id="7"/>
      <w:bookmarkEnd w:id="7"/>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40">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WJOZF6BQQOq4UWvkiL3MIg9fqg==">AMUW2mW7y3d0NlsGaMd4ssAHA7gem+uY+HIkHBP+4EiwaR0zt8p1ifKSzWqIP9PoFnIoZpF6aakrmkNawxjZvtKuWhmX2fAwMS57Bnrw2Hcy/AK/ASepFZlg2Q4KxB4ckdOOF8YzkAK1RUcAEpJF56rP7IovQldsU/Nda2XRzNizDNQDULvIihTBk21JgO5jex5kC9CocDuvxuQ+oqQED3eLQI4Lf/OUOXjI8aNxpdRl+jxAjYN493NXcwW7WUBt6Rm2PK7Cg2XehoIYRxhYYlvp3RWTXrFAjMH0YeOVXDAVS9iwHRVEgeyO4hlz0HPCYx6AOYvs25Hc/9xbj7T/ICPwY37AMq4qI52KtWHSR71TaGtYDKz0JwEYcadJjjiLS9O2JEky1UBeP5CZUtJpYWauJZC7L5cdeDygZvZ++05H11NpHzQOqiU1953U7xtRtJL6ExX+9O5Thb+VsbTgFW3H9bqmatCdUdUcobaBXsvrsmu73OhBjBd21i7MXwXZQxFr+W6VuKaWNEGIW3DpUHBR/QnPTnvwyyxY4OQTNCKvCrBQel9INXkOmTm2jY0PYWELgVumDGZDI1cuBraiCbqKN8AoCWzTguZjewvhkURy2iCcFVxg7goszf4EM/jCOoZ32suNef+oMI5N+0wmWlZzeZIUZHfmXB7kPN29nszm0SxJkxY0a3Ak9VE1dBsWsabGc6Q1diAT+/q3Dzps6hYlxWpOKGyOpGt2JYQQyigGBVpfsYlqMqOkLNBFiCL/CmVAu5t01NlvRqjxPdtdD4ZYD0d7OiS9qcksINL9HiEQ6fFQ0/HMLaY1zLdABNIXTaY75xrTYTABfJo9c0WgieaifV1h7Y/H+esBi7yK5o9qm48rl6TImUgrZh4BnAidHIht5XbeKdSNajOBU9uXutd/TyQ0tMEkgPIFVgk6C7wds4AQA9YQkEkgEl27aSJ2N6M489Oc946jrRgNQRZgglQTadoNWiQr2XnnTTmjUDfH36iBBgjk3smTxJl6267nw0doWSO8iklM21aCUORGG9I1ab/+2uCk0NpvoF+Ubzs4eQXaHxdMalvPLc9pYnPPx4JDCAXlDcy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